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A5D" w:rsidRDefault="00553A5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53A5D" w:rsidRDefault="00553A5D">
      <w:pPr>
        <w:pStyle w:val="ConsPlusNormal"/>
        <w:jc w:val="both"/>
        <w:outlineLvl w:val="0"/>
      </w:pPr>
    </w:p>
    <w:p w:rsidR="00553A5D" w:rsidRDefault="00553A5D">
      <w:pPr>
        <w:pStyle w:val="ConsPlusNormal"/>
        <w:outlineLvl w:val="0"/>
      </w:pPr>
      <w:r>
        <w:t>Зарегистрировано в Минюсте России 26 октября 2016 г. N 44157</w:t>
      </w:r>
    </w:p>
    <w:p w:rsidR="00553A5D" w:rsidRDefault="00553A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Title"/>
        <w:jc w:val="center"/>
      </w:pPr>
      <w:r>
        <w:t>МИНИСТЕРСТВО ТРАНСПОРТА РОССИЙСКОЙ ФЕДЕРАЦИИ</w:t>
      </w:r>
    </w:p>
    <w:p w:rsidR="00553A5D" w:rsidRDefault="00553A5D">
      <w:pPr>
        <w:pStyle w:val="ConsPlusTitle"/>
        <w:jc w:val="center"/>
      </w:pPr>
    </w:p>
    <w:p w:rsidR="00553A5D" w:rsidRDefault="00553A5D">
      <w:pPr>
        <w:pStyle w:val="ConsPlusTitle"/>
        <w:jc w:val="center"/>
      </w:pPr>
      <w:r>
        <w:t>ПРИКАЗ</w:t>
      </w:r>
    </w:p>
    <w:p w:rsidR="00553A5D" w:rsidRDefault="00553A5D">
      <w:pPr>
        <w:pStyle w:val="ConsPlusTitle"/>
        <w:jc w:val="center"/>
      </w:pPr>
      <w:r>
        <w:t>от 18 августа 2016 г. N 245</w:t>
      </w:r>
    </w:p>
    <w:p w:rsidR="00553A5D" w:rsidRDefault="00553A5D">
      <w:pPr>
        <w:pStyle w:val="ConsPlusTitle"/>
        <w:jc w:val="center"/>
      </w:pPr>
    </w:p>
    <w:p w:rsidR="00553A5D" w:rsidRDefault="00553A5D">
      <w:pPr>
        <w:pStyle w:val="ConsPlusTitle"/>
        <w:jc w:val="center"/>
      </w:pPr>
      <w:r>
        <w:t>О ВНЕСЕНИИ ИЗМЕНЕНИЙ</w:t>
      </w:r>
    </w:p>
    <w:p w:rsidR="00553A5D" w:rsidRDefault="00553A5D">
      <w:pPr>
        <w:pStyle w:val="ConsPlusTitle"/>
        <w:jc w:val="center"/>
      </w:pPr>
      <w:r>
        <w:t>В ПОРЯДОК ПРОВЕДЕНИЯ ОЦЕНКИ УЯЗВИМОСТИ ОБЪЕКТОВ</w:t>
      </w:r>
    </w:p>
    <w:p w:rsidR="00553A5D" w:rsidRDefault="00553A5D">
      <w:pPr>
        <w:pStyle w:val="ConsPlusTitle"/>
        <w:jc w:val="center"/>
      </w:pPr>
      <w:r>
        <w:t>ТРАНСПОРТНОЙ ИНФРАСТРУКТУРЫ И ТРАНСПОРТНЫХ СРЕДСТВ,</w:t>
      </w:r>
    </w:p>
    <w:p w:rsidR="00553A5D" w:rsidRDefault="00553A5D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ПРИКАЗОМ МИНИСТЕРСТВА ТРАНСПОРТА РОССИЙСКОЙ</w:t>
      </w:r>
    </w:p>
    <w:p w:rsidR="00553A5D" w:rsidRDefault="00553A5D">
      <w:pPr>
        <w:pStyle w:val="ConsPlusTitle"/>
        <w:jc w:val="center"/>
      </w:pPr>
      <w:r>
        <w:t>ФЕДЕРАЦИИ ОТ 12 АПРЕЛЯ 2010 Г. N 87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6 статьи 5</w:t>
        </w:r>
      </w:hyperlink>
      <w:r>
        <w:t xml:space="preserve"> Федерального закона от 9 февраля 2007 г. N 16-ФЗ "О транспортной безопасности" (Собрание законодательства Российской Федерации, 2007, N 7, ст. 837; 2008, N 30 (ч. 2), ст. 3616; 2009, N 29, ст. 3634; 2010, N 27, ст. 3415; 2011, N 7, ст. 901, N 30 (ч. 1), ст. 4569, ст. 4590;</w:t>
      </w:r>
      <w:proofErr w:type="gramEnd"/>
      <w:r>
        <w:t xml:space="preserve"> 2013, N 30 (ч. 1), ст. 4041, ст. 4058; 2014, N 6, ст. 566; 2015, N 27, ст. 3959, N 29 (ч. 1), ст. 4356 &lt;1&gt;) приказываю: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2016, N 26 (ч. 1), ст. 3870, N 28, ст. 4558.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ind w:firstLine="540"/>
        <w:jc w:val="both"/>
      </w:pPr>
      <w:proofErr w:type="gramStart"/>
      <w:r>
        <w:t xml:space="preserve">Внести изменения в </w:t>
      </w:r>
      <w:hyperlink r:id="rId6" w:history="1">
        <w:r>
          <w:rPr>
            <w:color w:val="0000FF"/>
          </w:rPr>
          <w:t>Порядок</w:t>
        </w:r>
      </w:hyperlink>
      <w:r>
        <w:t xml:space="preserve"> проведения оценки уязвимости объектов транспортной инфраструктуры и транспортных средств, утвержденный приказом Министерства транспорта Российской Федерации от 12 апреля 2010 г. N 87 (зарегистрирован Минюстом России 21 мая 2010 г., регистрационный N 17321), с изменениями, внесенными приказом Министерства транспорта Российской Федерации от 26 июля 2011 г. N 199 (зарегистрирован Минюстом России 23 августа 2011 г., регистрационный N</w:t>
      </w:r>
      <w:proofErr w:type="gramEnd"/>
      <w:r>
        <w:t xml:space="preserve"> 21682), согласно </w:t>
      </w:r>
      <w:hyperlink w:anchor="P32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right"/>
      </w:pPr>
      <w:r>
        <w:t>Министр</w:t>
      </w:r>
    </w:p>
    <w:p w:rsidR="00553A5D" w:rsidRDefault="00553A5D">
      <w:pPr>
        <w:pStyle w:val="ConsPlusNormal"/>
        <w:jc w:val="right"/>
      </w:pPr>
      <w:r>
        <w:t>М.Ю.СОКОЛОВ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right"/>
        <w:outlineLvl w:val="0"/>
      </w:pPr>
      <w:r>
        <w:t>Приложение</w:t>
      </w:r>
    </w:p>
    <w:p w:rsidR="00553A5D" w:rsidRDefault="00553A5D">
      <w:pPr>
        <w:pStyle w:val="ConsPlusNormal"/>
        <w:jc w:val="right"/>
      </w:pPr>
      <w:r>
        <w:t>к приказу Минтранса России</w:t>
      </w:r>
    </w:p>
    <w:p w:rsidR="00553A5D" w:rsidRDefault="00553A5D">
      <w:pPr>
        <w:pStyle w:val="ConsPlusNormal"/>
        <w:jc w:val="right"/>
      </w:pPr>
      <w:r>
        <w:t>от 18 августа 2016 г. N 245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center"/>
      </w:pPr>
      <w:bookmarkStart w:id="0" w:name="P32"/>
      <w:bookmarkEnd w:id="0"/>
      <w:r>
        <w:t>ИЗМЕНЕНИЯ,</w:t>
      </w:r>
    </w:p>
    <w:p w:rsidR="00553A5D" w:rsidRDefault="00553A5D">
      <w:pPr>
        <w:pStyle w:val="ConsPlusNormal"/>
        <w:jc w:val="center"/>
      </w:pPr>
      <w:r>
        <w:t>ВНОСИМЫЕ В ПОРЯДОК ПРОВЕДЕНИЯ ОЦЕНКИ УЯЗВИМОСТИ ОБЪЕКТОВ</w:t>
      </w:r>
    </w:p>
    <w:p w:rsidR="00553A5D" w:rsidRDefault="00553A5D">
      <w:pPr>
        <w:pStyle w:val="ConsPlusNormal"/>
        <w:jc w:val="center"/>
      </w:pPr>
      <w:r>
        <w:t>ТРАНСПОРТНОЙ ИНФРАСТРУКТУРЫ И ТРАНСПОРТНЫХ СРЕДСТВ,</w:t>
      </w:r>
    </w:p>
    <w:p w:rsidR="00553A5D" w:rsidRDefault="00553A5D">
      <w:pPr>
        <w:pStyle w:val="ConsPlusNormal"/>
        <w:jc w:val="center"/>
      </w:pPr>
      <w:proofErr w:type="gramStart"/>
      <w:r>
        <w:t>УТВЕРЖДЕННЫЙ</w:t>
      </w:r>
      <w:proofErr w:type="gramEnd"/>
      <w:r>
        <w:t xml:space="preserve"> ПРИКАЗОМ МИНТРАНСА РОССИИ</w:t>
      </w:r>
    </w:p>
    <w:p w:rsidR="00553A5D" w:rsidRDefault="00553A5D">
      <w:pPr>
        <w:pStyle w:val="ConsPlusNormal"/>
        <w:jc w:val="center"/>
      </w:pPr>
      <w:r>
        <w:t>ОТ 12 АПРЕЛЯ 2010 Г. N 87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</w:t>
        </w:r>
      </w:hyperlink>
      <w:r>
        <w:t xml:space="preserve"> слова "частью 1" заменить словами "частями 1 и 6".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Сноску &lt;1&gt;</w:t>
        </w:r>
      </w:hyperlink>
      <w:r>
        <w:t xml:space="preserve"> к пункту 1 изложить в следующей редакции:</w:t>
      </w:r>
    </w:p>
    <w:p w:rsidR="00553A5D" w:rsidRDefault="00553A5D">
      <w:pPr>
        <w:pStyle w:val="ConsPlusNormal"/>
        <w:spacing w:before="220"/>
        <w:ind w:firstLine="540"/>
        <w:jc w:val="both"/>
      </w:pPr>
      <w:proofErr w:type="gramStart"/>
      <w:r>
        <w:lastRenderedPageBreak/>
        <w:t>"&lt;1&gt; Собрание законодательства Российской Федерации, 2007, N 7 (ч. 1), ст. 837; 2008, N 30 (ч. 2), ст. 3616; 2009, N 29, ст. 3634; 2010, N 27 (ч. 1), ст. 3415; 2011, N 7, ст. 901, N 30 (ч. 1), ст. 4569, 4590; 2013, N 30 (ч. 1), ст. 4041, 4058;</w:t>
      </w:r>
      <w:proofErr w:type="gramEnd"/>
      <w:r>
        <w:t xml:space="preserve"> 2014, N 6, ст. 566; 2015, N 27, ст. 3959, N 29 (ч. 1), ст. 4356; 2016, N 26 (ч. 1), ст. 3870, N 28, ст. 4558".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 </w:t>
      </w:r>
      <w:hyperlink r:id="rId9" w:history="1">
        <w:r>
          <w:rPr>
            <w:color w:val="0000FF"/>
          </w:rPr>
          <w:t>Пункт 2</w:t>
        </w:r>
      </w:hyperlink>
      <w:r>
        <w:t xml:space="preserve"> дополнить абзацем в следующей редакции:</w:t>
      </w:r>
    </w:p>
    <w:p w:rsidR="00553A5D" w:rsidRDefault="00553A5D">
      <w:pPr>
        <w:pStyle w:val="ConsPlusNormal"/>
        <w:spacing w:before="220"/>
        <w:ind w:firstLine="540"/>
        <w:jc w:val="both"/>
      </w:pPr>
      <w:proofErr w:type="gramStart"/>
      <w:r>
        <w:t>"Оценка уязвимости акватории морского порта проводится в целях определения степени защищенности от потенциальных угроз совершения актов незаконного вмешательства в отношении судов, находящихся в акватории морского порта, возможности незаконного нахождения или перемещения судов, принятия мер капитаном морского порта по обнаружению судов, их идентификации, установления с ними радиосвязи, прекращения их незаконного нахождения, перемещения в акватории морского порта.</w:t>
      </w:r>
      <w:proofErr w:type="gramEnd"/>
    </w:p>
    <w:p w:rsidR="00553A5D" w:rsidRDefault="00553A5D">
      <w:pPr>
        <w:pStyle w:val="ConsPlusNormal"/>
        <w:spacing w:before="220"/>
        <w:ind w:firstLine="540"/>
        <w:jc w:val="both"/>
      </w:pPr>
      <w:proofErr w:type="gramStart"/>
      <w:r>
        <w:t xml:space="preserve">Оценка уязвимости акватории морского порта включает в себя оценку охраны акватории морского порта и проводится с учетом требований, установленных главой XI-2 Международной </w:t>
      </w:r>
      <w:hyperlink r:id="rId10" w:history="1">
        <w:r>
          <w:rPr>
            <w:color w:val="0000FF"/>
          </w:rPr>
          <w:t>конвенции</w:t>
        </w:r>
      </w:hyperlink>
      <w:r>
        <w:t xml:space="preserve"> по охране человеческой жизни на море 1974 года (принята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Совета Министров СССР от 2 ноября 1979 г. N 975 "О принятии СССР Международной конвенции по охране человеческой жизни на море 1974 года"), Международным кодексом по охране</w:t>
      </w:r>
      <w:proofErr w:type="gramEnd"/>
      <w:r>
        <w:t xml:space="preserve"> </w:t>
      </w:r>
      <w:hyperlink r:id="rId12" w:history="1">
        <w:r>
          <w:rPr>
            <w:color w:val="0000FF"/>
          </w:rPr>
          <w:t>судов</w:t>
        </w:r>
      </w:hyperlink>
      <w:r>
        <w:t xml:space="preserve"> и портовых средств и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9 февраля 2007 г. N 16-ФЗ "О транспортной безопасности"</w:t>
      </w:r>
      <w:proofErr w:type="gramStart"/>
      <w:r>
        <w:t>."</w:t>
      </w:r>
      <w:proofErr w:type="gramEnd"/>
      <w:r>
        <w:t>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4. </w:t>
      </w:r>
      <w:hyperlink r:id="rId14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"3. В ходе проведения оценки уязвимости осуществляется: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3.1. В отношении объектов транспортной инфраструктуры и транспортных средств, за исключением акватории морского порта: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3.1.1. Изучение технических и технологических характеристик объекта транспортной инфраструктуры или транспортного средства (включая геологические, гидрологические и географические особенности дислокации объекта транспортной инфраструктуры), а также организации их эксплуатации (функционирования).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Результатом изучения является описание технических и технологических характеристик объекта транспортной инфраструктуры или транспортного средства (включая геологические, гидрологические и географические особенности дислокации объекта транспортной инфраструктуры), а также организации их эксплуатации (функционирования), определение границ зоны безопасности и перечня критических элементов объекта транспортной инфраструктуры или транспортного средства.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3.1.2. Изучение системы принятых на объекте транспортной инфраструктуры или транспортном средстве мер по защите от актов незаконного вмешательства.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Результатом изучения является описание системы принятых субъектом транспортной инфраструктуры мер на объекте транспортной инфраструктуры и/или транспортном средстве по защите от актов незаконного вмешательства, а также оценка ее соответствия требованиям по обеспечению транспортной безопасности объектов транспортной инфраструктуры и транспортных средств.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3.1.3. Изучение </w:t>
      </w:r>
      <w:proofErr w:type="gramStart"/>
      <w:r>
        <w:t>способов реализации потенциальных угроз совершения актов незаконного вмешательства</w:t>
      </w:r>
      <w:proofErr w:type="gramEnd"/>
      <w:r>
        <w:t xml:space="preserve"> в деятельность объекта транспортной инфраструктуры и транспортного средства с использованием совокупности сведений о численности, оснащенности, подготовленности, осведомленности, а также действий потенциальных нарушителей, преследуемых целей при совершении акта незаконного вмешательства в деятельность объекта транспортной инфраструктуры и транспортного средства (далее - модель нарушителя).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lastRenderedPageBreak/>
        <w:t xml:space="preserve">Результатом изучения является описание </w:t>
      </w:r>
      <w:proofErr w:type="gramStart"/>
      <w:r>
        <w:t>способов реализации потенциальных угроз совершения актов незаконного вмешательства</w:t>
      </w:r>
      <w:proofErr w:type="gramEnd"/>
      <w:r>
        <w:t xml:space="preserve"> в деятельность объекта транспортной инфраструктуры или транспортного средства применительно к модели нарушителя.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3.1.4. Определение рекомендаций субъекту транспортной инфраструктуры в отношении мер, которые необходимо дополнительно включить в систему мер по обеспечению транспортной безопасности объекта транспортной инфраструктуры и/или транспортного средства.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Результатом определения рекомендаций является описание дополнительных мер, которые необходимо принять субъекту транспортной инфраструктуры на объекте транспортной инфраструктуры и/или транспортном средстве в соответствии с требованиями по обеспечению транспортной безопасности.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 В отношении акватории морского порта: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3.2.1. </w:t>
      </w:r>
      <w:proofErr w:type="gramStart"/>
      <w:r>
        <w:t>Описание границ акватории морского порта (включая места якорных стоянок) в соответствии с установленными Правительством Российской Федерации границами морского порта, в том числе географические особенности расположения акватории морского порта.</w:t>
      </w:r>
      <w:proofErr w:type="gramEnd"/>
    </w:p>
    <w:p w:rsidR="00553A5D" w:rsidRDefault="00553A5D">
      <w:pPr>
        <w:pStyle w:val="ConsPlusNormal"/>
        <w:spacing w:before="220"/>
        <w:ind w:firstLine="540"/>
        <w:jc w:val="both"/>
      </w:pPr>
      <w:r>
        <w:t>3.2.2. Описание подходов к морскому порту в соответствии с обязательными постановлениями в морском порту.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3.2.3. Описание районов акватории морского порта, запрещенных или ограниченных для судоходства в соответствии с обязательными постановлениями в морском порту, другими нормативными правовыми актами, извещениями мореплавателям.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3.2.4. Установление возможности обнаружения и идентификации судов на поверхности воды акватории морского порта с помощью инженерно-технических средств, установленных в морском порту.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3.2.5. Описание технических возможностей и зон действия инженерно-технических средств (Глобальная морская система связи при бедствии и для обеспечения безопасности (ГМССБ), автоматическая идентификационная система (АИС), средства визуального наблюдения, система управления движением судов (СУДС), УКВ радиосвязь), с помощью которых возможны обнаружение и идентификация судов, а также установление радиосвязи с ними.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3.2.6. Определение интенсивности судоходства в акватории морского порта.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3.2.7. </w:t>
      </w:r>
      <w:proofErr w:type="gramStart"/>
      <w:r>
        <w:t xml:space="preserve">Описание погрузочно-разгрузочных операций, осуществляющихся в акватории морского порта в соответствии с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29 апреля 2009 г. N 68 "Об утверждении Правил оказания услуг по организации перегрузки грузов с судна на судно" (зарегистрирован Минюстом России 29 июня 2009 г., регистрационный N 14146) с изменениями, внесенными приказом Министерства транспорта Российской Федерации от 10 мая 2016 г. N</w:t>
      </w:r>
      <w:proofErr w:type="gramEnd"/>
      <w:r>
        <w:t xml:space="preserve"> 122 (зарегистрирован Минюстом России 7 июня 2016 г., регистрационный N 42438).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3.2.8. Описание системы мер, принятых субъектом транспортной инфраструктуры на акватории морского порта по защите от актов незаконного вмешательства, а также оценка ее соответствия требованиям по обеспечению транспортной безопасности, утвержденным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9 февраля 2007 г. N 16-ФЗ "О транспортной безопасности", и определение границ зоны транспортной безопасности.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3.2.9. Описание </w:t>
      </w:r>
      <w:proofErr w:type="gramStart"/>
      <w:r>
        <w:t>способов реализации потенциальных угроз совершения актов незаконного вмешательства</w:t>
      </w:r>
      <w:proofErr w:type="gramEnd"/>
      <w:r>
        <w:t xml:space="preserve"> в акватории морского порта.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3.2.10. Определение рекомендаций в отношении мер, которые необходимо дополнительно включить в систему мер по обеспечению транспортной безопасности акватории морского порта.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lastRenderedPageBreak/>
        <w:t>3.2.11. Результатом оценки уязвимости акватории морского порта являются материалы проведенной работы, предусмотренной подпунктом 3.2 настоящего Порядка, и рекомендации: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о необходимости дополнения технических или организационных мер в отношении акватории морского порта или ее отдельных частей;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>и/или о достаточности технических и организационных мер обеспечения транспортной безопасности для акватории морского порта или ее отдельных частей;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и/или об отсутствии </w:t>
      </w:r>
      <w:proofErr w:type="gramStart"/>
      <w:r>
        <w:t>необходимости принятия дополнительных мер обеспечения транспортной безопасности</w:t>
      </w:r>
      <w:proofErr w:type="gramEnd"/>
      <w:r>
        <w:t xml:space="preserve"> в отношении акватории морского порта или ее отдельных частей".</w:t>
      </w:r>
    </w:p>
    <w:p w:rsidR="00553A5D" w:rsidRDefault="00553A5D">
      <w:pPr>
        <w:pStyle w:val="ConsPlusNormal"/>
        <w:spacing w:before="220"/>
        <w:ind w:firstLine="540"/>
        <w:jc w:val="both"/>
      </w:pPr>
      <w:r>
        <w:t xml:space="preserve">5. </w:t>
      </w:r>
      <w:hyperlink r:id="rId17" w:history="1">
        <w:r>
          <w:rPr>
            <w:color w:val="0000FF"/>
          </w:rPr>
          <w:t>Пункт 9</w:t>
        </w:r>
      </w:hyperlink>
      <w:r>
        <w:t xml:space="preserve"> после слов "требований по обеспечению транспортной безопасности объектов транспортной инфраструктуры и транспортных средств" дополнить словами ", а для акватории морского порта, в том числе при изменении границ акватории морского порта".</w:t>
      </w: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jc w:val="both"/>
      </w:pPr>
    </w:p>
    <w:p w:rsidR="00553A5D" w:rsidRDefault="00553A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1B14" w:rsidRDefault="00A31B14"/>
    <w:sectPr w:rsidR="00A31B14" w:rsidSect="0008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3A5D"/>
    <w:rsid w:val="00553A5D"/>
    <w:rsid w:val="00A3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3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53A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0447DE4FECBA7CB2CD841F89216750A67BB90C6C6427A0BAAD3404B7E1DE2E8446048736F9373B7B79C96B9DEAB4918F9F233C9B8A006EcBu2I" TargetMode="External"/><Relationship Id="rId13" Type="http://schemas.openxmlformats.org/officeDocument/2006/relationships/hyperlink" Target="consultantplus://offline/ref=4F0447DE4FECBA7CB2CD841F89216750A47AB102636427A0BAAD3404B7E1DE2E96465C8B34FA293A7C6C9F3AD8cBu6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0447DE4FECBA7CB2CD841F89216750A67BB90C6C6427A0BAAD3404B7E1DE2E8446048736F9373B7979C96B9DEAB4918F9F233C9B8A006EcBu2I" TargetMode="External"/><Relationship Id="rId12" Type="http://schemas.openxmlformats.org/officeDocument/2006/relationships/hyperlink" Target="consultantplus://offline/ref=4F0447DE4FECBA7CB2CD81108A216750A57CB70E6C677AAAB2F43806B0EE8139830F088636F9363D7226CC7E8CB2BB9092812627878801c6u6I" TargetMode="External"/><Relationship Id="rId17" Type="http://schemas.openxmlformats.org/officeDocument/2006/relationships/hyperlink" Target="consultantplus://offline/ref=4F0447DE4FECBA7CB2CD841F89216750A67BB90C6C6427A0BAAD3404B7E1DE2E8446048736F937397B79C96B9DEAB4918F9F233C9B8A006EcBu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F0447DE4FECBA7CB2CD841F89216750A47AB102636427A0BAAD3404B7E1DE2E96465C8B34FA293A7C6C9F3AD8cBu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0447DE4FECBA7CB2CD841F89216750A67BB90C6C6427A0BAAD3404B7E1DE2E8446048736F9373A7079C96B9DEAB4918F9F233C9B8A006EcBu2I" TargetMode="External"/><Relationship Id="rId11" Type="http://schemas.openxmlformats.org/officeDocument/2006/relationships/hyperlink" Target="consultantplus://offline/ref=4F0447DE4FECBA7CB2CD8D0D8B216750A57BB00D6F677AAAB2F43806B0EE812B8357048435E7373F67709D3BcDu0I" TargetMode="External"/><Relationship Id="rId5" Type="http://schemas.openxmlformats.org/officeDocument/2006/relationships/hyperlink" Target="consultantplus://offline/ref=4F0447DE4FECBA7CB2CD841F89216750A47AB102636427A0BAAD3404B7E1DE2E8446048736F9363E7079C96B9DEAB4918F9F233C9B8A006EcBu2I" TargetMode="External"/><Relationship Id="rId15" Type="http://schemas.openxmlformats.org/officeDocument/2006/relationships/hyperlink" Target="consultantplus://offline/ref=4F0447DE4FECBA7CB2CD841F89216750A673B80E636E27A0BAAD3404B7E1DE2E96465C8B34FA293A7C6C9F3AD8cBu6I" TargetMode="External"/><Relationship Id="rId10" Type="http://schemas.openxmlformats.org/officeDocument/2006/relationships/hyperlink" Target="consultantplus://offline/ref=4F0447DE4FECBA7CB2CD81108A216750A67FB90C6B677AAAB2F43806B0EE812B8357048435E7373F67709D3BcDu0I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F0447DE4FECBA7CB2CD841F89216750A67BB90C6C6427A0BAAD3404B7E1DE2E8446048736F9373B7A79C96B9DEAB4918F9F233C9B8A006EcBu2I" TargetMode="External"/><Relationship Id="rId14" Type="http://schemas.openxmlformats.org/officeDocument/2006/relationships/hyperlink" Target="consultantplus://offline/ref=4F0447DE4FECBA7CB2CD841F89216750A67BB90C6C6427A0BAAD3404B7E1DE2E8446048736F9373B7D79C96B9DEAB4918F9F233C9B8A006EcBu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1705</Words>
  <Characters>9725</Characters>
  <Application>Microsoft Office Word</Application>
  <DocSecurity>0</DocSecurity>
  <Lines>81</Lines>
  <Paragraphs>22</Paragraphs>
  <ScaleCrop>false</ScaleCrop>
  <Company/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</cp:revision>
  <dcterms:created xsi:type="dcterms:W3CDTF">2019-05-23T08:46:00Z</dcterms:created>
  <dcterms:modified xsi:type="dcterms:W3CDTF">2019-05-23T08:47:00Z</dcterms:modified>
</cp:coreProperties>
</file>